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A49" w:rsidRPr="00DF529D" w:rsidRDefault="0043310A" w:rsidP="004A44BC">
      <w:pPr>
        <w:jc w:val="both"/>
        <w:rPr>
          <w:rFonts w:ascii="Times New Roman" w:hAnsi="Times New Roman" w:cs="Times New Roman"/>
          <w:sz w:val="26"/>
          <w:szCs w:val="26"/>
        </w:rPr>
      </w:pPr>
      <w:r w:rsidRPr="00DF529D">
        <w:rPr>
          <w:rFonts w:ascii="Times New Roman" w:hAnsi="Times New Roman" w:cs="Times New Roman"/>
          <w:sz w:val="26"/>
          <w:szCs w:val="26"/>
        </w:rPr>
        <w:t>Alla Commissione giustizia della Camera dei Deputati</w:t>
      </w: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Fonts w:ascii="Times New Roman" w:hAnsi="Times New Roman" w:cs="Times New Roman"/>
          <w:sz w:val="26"/>
          <w:szCs w:val="26"/>
        </w:rPr>
        <w:t>Osservazioni in emerito all</w:t>
      </w:r>
      <w:r w:rsidRPr="00DF52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'A.C. 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AFAFA"/>
        </w:rPr>
        <w:t>1693 Boldrini</w:t>
      </w:r>
      <w:r w:rsidRPr="00DF52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recante 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AFAFA"/>
        </w:rPr>
        <w:t>"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Modifica dell’articolo 609-</w:t>
      </w:r>
      <w:r w:rsidRPr="00DF529D">
        <w:rPr>
          <w:rStyle w:val="Enfasicorsivo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bis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 del codice penale in materia di violenza sessuale e di libera manifestazione del consenso”</w:t>
      </w: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Svolgo le funzioni di giudi</w:t>
      </w:r>
      <w:r w:rsidR="00380250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c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 per le indagini preliminari, per l’udienza preliminare e magistrato di sorveglianza presso il Tribunale per i minorenni di Roma.</w:t>
      </w: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Negli ultimi anni ho registrato un aumento dei procedimenti relativi ad ipotesi di violenza sessual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commessi da minorenni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(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in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limitati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casi anche minori dei 14 anni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)</w:t>
      </w:r>
      <w:r w:rsidR="00DF529D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prevalentemente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nei confronti di vittime minorenni.</w:t>
      </w: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I fatti contestati sono spesso connotati dall’</w:t>
      </w:r>
      <w:proofErr w:type="spellStart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approfittamento</w:t>
      </w:r>
      <w:proofErr w:type="spellEnd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da parte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dell’imputato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delle condizioni di alterata coscienza della vittima dovuta all’uso,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per lo più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volontario, di bevande alcoliche o sostanze stupefacenti. In alcuni casi è presente un iniziale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e parziale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consenso, 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comunque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non valido perché dato nelle anzidette condizioni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alterate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.</w:t>
      </w:r>
    </w:p>
    <w:p w:rsidR="0043310A" w:rsidRPr="00DF529D" w:rsidRDefault="0043310A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Raramente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 invece,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veng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o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no all’attenzione del Tribunale per i minorenni fatti connotati da una chiara violenza</w:t>
      </w:r>
      <w:r w:rsidR="004A44BC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o minaccia agita dall’imputato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.</w:t>
      </w:r>
    </w:p>
    <w:p w:rsidR="00DE23E6" w:rsidRPr="00DF529D" w:rsidRDefault="00DE23E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DA738F" w:rsidRPr="00DF529D" w:rsidRDefault="004A44BC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I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l tema del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l’esistenza del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consenso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della vittima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,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 della sua validità,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durante tutta la durata dell’atto sessuale,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DF529D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nonché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della consapevolezza da parte dell’imputato della necessità di accertarsene,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è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dunque c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entrale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per valutare la sussistenza del reato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sotto l’aspetto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del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l’elemento oggettivo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e, soprattutto,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soggettivo</w:t>
      </w:r>
      <w:r w:rsidR="00AF3A7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. 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Tale accertamento non è agevole, sia per il grado di maturità degli imputati minorenni, sia per il dato normativo (che spesso viene fatto leggere in udienza all’imputato)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che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può indurre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a ritenere la sussistenza della violenza sessuale solo, appunto, in caso di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“violenza”. </w:t>
      </w:r>
    </w:p>
    <w:p w:rsidR="00DE23E6" w:rsidRPr="00DF529D" w:rsidRDefault="00DE23E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DA738F" w:rsidRPr="00DF529D" w:rsidRDefault="00DA738F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proofErr w:type="gramStart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E’</w:t>
      </w:r>
      <w:proofErr w:type="gramEnd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nota a chi scrive l’interpretazione sul</w:t>
      </w:r>
      <w:r w:rsidR="00DF529D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tema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della giurisprudenza della Suprema Corte, ma la chiarezza del dato normativo a cui il progetto di legge in commento tende è assolutamente opportuna, soprattutto nel contesto minorile</w:t>
      </w:r>
      <w:r w:rsidR="00DF529D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che deve avere riferimenti certi e facilmente comprensibili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.</w:t>
      </w:r>
    </w:p>
    <w:p w:rsidR="00DE23E6" w:rsidRPr="00DF529D" w:rsidRDefault="00DE23E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896968" w:rsidRPr="00DF529D" w:rsidRDefault="00AF3A7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proofErr w:type="gramStart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E’</w:t>
      </w:r>
      <w:proofErr w:type="gramEnd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anche per tali ragioni che ritengo condivisibile la proposta di legge in esame</w:t>
      </w:r>
      <w:r w:rsidR="00DF529D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,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ed </w:t>
      </w:r>
      <w:r w:rsidR="00896968" w:rsidRPr="00DF529D">
        <w:rPr>
          <w:rFonts w:ascii="Times New Roman" w:hAnsi="Times New Roman" w:cs="Times New Roman"/>
          <w:sz w:val="26"/>
          <w:szCs w:val="26"/>
        </w:rPr>
        <w:t>opportuna la definizione di consenso prevista al comma 2.</w:t>
      </w:r>
    </w:p>
    <w:p w:rsidR="00DE23E6" w:rsidRPr="00DF529D" w:rsidRDefault="00DE23E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AF3A76" w:rsidRPr="00DF529D" w:rsidRDefault="00AF3A76" w:rsidP="004A44B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Tuttavia tale </w:t>
      </w:r>
      <w:r w:rsidR="00DA738F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auspicabile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chiarezza viene in parte meno per la tecnica legislativa utilizzata.</w:t>
      </w:r>
    </w:p>
    <w:p w:rsidR="00AF3A76" w:rsidRPr="00DF529D" w:rsidRDefault="00AF3A76" w:rsidP="004A44BC">
      <w:pPr>
        <w:jc w:val="both"/>
        <w:rPr>
          <w:rFonts w:ascii="Times New Roman" w:hAnsi="Times New Roman" w:cs="Times New Roman"/>
          <w:sz w:val="26"/>
          <w:szCs w:val="26"/>
        </w:rPr>
      </w:pP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Viene infatti </w:t>
      </w:r>
      <w:proofErr w:type="gramStart"/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previsto </w:t>
      </w:r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:</w:t>
      </w:r>
      <w:proofErr w:type="gramEnd"/>
      <w:r w:rsidR="00DE23E6"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Pr="00DF529D">
        <w:rPr>
          <w:rStyle w:val="Enfasigrassetto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“</w:t>
      </w:r>
      <w:r w:rsidR="00DA738F" w:rsidRPr="00DF529D">
        <w:rPr>
          <w:rFonts w:ascii="Times New Roman" w:hAnsi="Times New Roman" w:cs="Times New Roman"/>
          <w:sz w:val="26"/>
          <w:szCs w:val="26"/>
        </w:rPr>
        <w:t>c</w:t>
      </w:r>
      <w:r w:rsidRPr="00DF529D">
        <w:rPr>
          <w:rFonts w:ascii="Times New Roman" w:hAnsi="Times New Roman" w:cs="Times New Roman"/>
          <w:sz w:val="26"/>
          <w:szCs w:val="26"/>
        </w:rPr>
        <w:t>hiunque, in assenza di consenso</w:t>
      </w:r>
      <w:r w:rsidRPr="00DF529D">
        <w:rPr>
          <w:rFonts w:ascii="Times New Roman" w:hAnsi="Times New Roman" w:cs="Times New Roman"/>
          <w:sz w:val="26"/>
          <w:szCs w:val="26"/>
          <w:u w:val="single"/>
        </w:rPr>
        <w:t>, costringe o induce</w:t>
      </w:r>
      <w:r w:rsidRPr="00DF529D">
        <w:rPr>
          <w:rFonts w:ascii="Times New Roman" w:hAnsi="Times New Roman" w:cs="Times New Roman"/>
          <w:sz w:val="26"/>
          <w:szCs w:val="26"/>
        </w:rPr>
        <w:t xml:space="preserve"> taluno a compiere o subire atti sessuali”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, </w:t>
      </w:r>
      <w:r w:rsidRPr="00DF529D">
        <w:rPr>
          <w:rFonts w:ascii="Times New Roman" w:hAnsi="Times New Roman" w:cs="Times New Roman"/>
          <w:sz w:val="26"/>
          <w:szCs w:val="26"/>
        </w:rPr>
        <w:t>c</w:t>
      </w:r>
      <w:r w:rsidR="00896968" w:rsidRPr="00DF529D">
        <w:rPr>
          <w:rFonts w:ascii="Times New Roman" w:hAnsi="Times New Roman" w:cs="Times New Roman"/>
          <w:sz w:val="26"/>
          <w:szCs w:val="26"/>
        </w:rPr>
        <w:t>osì reintroducendo</w:t>
      </w:r>
      <w:r w:rsidR="00C669C7" w:rsidRPr="00DF529D">
        <w:rPr>
          <w:rFonts w:ascii="Times New Roman" w:hAnsi="Times New Roman" w:cs="Times New Roman"/>
          <w:sz w:val="26"/>
          <w:szCs w:val="26"/>
        </w:rPr>
        <w:t xml:space="preserve"> il requisito della costrizione o induzione 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in aggiunta a quello, base, dell’assenza di valido consenso. </w:t>
      </w:r>
    </w:p>
    <w:p w:rsidR="00C669C7" w:rsidRPr="00DF529D" w:rsidRDefault="00C669C7" w:rsidP="004A44BC">
      <w:pPr>
        <w:jc w:val="both"/>
        <w:rPr>
          <w:rFonts w:ascii="Times New Roman" w:hAnsi="Times New Roman" w:cs="Times New Roman"/>
          <w:sz w:val="26"/>
          <w:szCs w:val="26"/>
        </w:rPr>
      </w:pPr>
      <w:r w:rsidRPr="00DF529D">
        <w:rPr>
          <w:rFonts w:ascii="Times New Roman" w:hAnsi="Times New Roman" w:cs="Times New Roman"/>
          <w:sz w:val="26"/>
          <w:szCs w:val="26"/>
        </w:rPr>
        <w:t xml:space="preserve">Mi permetto dunque di suggerire una formula più </w:t>
      </w:r>
      <w:r w:rsidR="00DE23E6" w:rsidRPr="00DF529D">
        <w:rPr>
          <w:rFonts w:ascii="Times New Roman" w:hAnsi="Times New Roman" w:cs="Times New Roman"/>
          <w:sz w:val="26"/>
          <w:szCs w:val="26"/>
        </w:rPr>
        <w:t>semplice ed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 in linea con le intenzioni del progetto di legge,</w:t>
      </w:r>
      <w:r w:rsidRPr="00DF529D">
        <w:rPr>
          <w:rFonts w:ascii="Times New Roman" w:hAnsi="Times New Roman" w:cs="Times New Roman"/>
          <w:sz w:val="26"/>
          <w:szCs w:val="26"/>
        </w:rPr>
        <w:t xml:space="preserve"> del tipo “</w:t>
      </w:r>
      <w:r w:rsidR="00896968" w:rsidRPr="00DF529D">
        <w:rPr>
          <w:rFonts w:ascii="Times New Roman" w:hAnsi="Times New Roman" w:cs="Times New Roman"/>
          <w:sz w:val="26"/>
          <w:szCs w:val="26"/>
        </w:rPr>
        <w:t>c</w:t>
      </w:r>
      <w:r w:rsidRPr="00DF529D">
        <w:rPr>
          <w:rFonts w:ascii="Times New Roman" w:hAnsi="Times New Roman" w:cs="Times New Roman"/>
          <w:sz w:val="26"/>
          <w:szCs w:val="26"/>
        </w:rPr>
        <w:t xml:space="preserve">hiunque </w:t>
      </w:r>
      <w:r w:rsidR="0056797B" w:rsidRPr="00DF529D">
        <w:rPr>
          <w:rFonts w:ascii="Times New Roman" w:hAnsi="Times New Roman" w:cs="Times New Roman"/>
          <w:sz w:val="26"/>
          <w:szCs w:val="26"/>
        </w:rPr>
        <w:t xml:space="preserve">compie con </w:t>
      </w:r>
      <w:r w:rsidR="00896968" w:rsidRPr="00DF529D">
        <w:rPr>
          <w:rFonts w:ascii="Times New Roman" w:hAnsi="Times New Roman" w:cs="Times New Roman"/>
          <w:sz w:val="26"/>
          <w:szCs w:val="26"/>
        </w:rPr>
        <w:t>taluno</w:t>
      </w:r>
      <w:r w:rsidR="0056797B" w:rsidRPr="00DF529D">
        <w:rPr>
          <w:rFonts w:ascii="Times New Roman" w:hAnsi="Times New Roman" w:cs="Times New Roman"/>
          <w:sz w:val="26"/>
          <w:szCs w:val="26"/>
        </w:rPr>
        <w:t xml:space="preserve"> atti sessuali senza consenso…</w:t>
      </w:r>
      <w:proofErr w:type="gramStart"/>
      <w:r w:rsidR="0056797B" w:rsidRPr="00DF529D">
        <w:rPr>
          <w:rFonts w:ascii="Times New Roman" w:hAnsi="Times New Roman" w:cs="Times New Roman"/>
          <w:sz w:val="26"/>
          <w:szCs w:val="26"/>
        </w:rPr>
        <w:t xml:space="preserve">” </w:t>
      </w:r>
      <w:r w:rsidR="00896968" w:rsidRPr="00DF529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96968" w:rsidRPr="00DF529D">
        <w:rPr>
          <w:rFonts w:ascii="Times New Roman" w:hAnsi="Times New Roman" w:cs="Times New Roman"/>
          <w:sz w:val="26"/>
          <w:szCs w:val="26"/>
        </w:rPr>
        <w:t xml:space="preserve"> ovvero “ chiunque, in assenza di consenso, compie atti sessuali con taluno o li fa </w:t>
      </w:r>
      <w:r w:rsidR="00DE23E6" w:rsidRPr="00DF529D">
        <w:rPr>
          <w:rFonts w:ascii="Times New Roman" w:hAnsi="Times New Roman" w:cs="Times New Roman"/>
          <w:sz w:val="26"/>
          <w:szCs w:val="26"/>
        </w:rPr>
        <w:t xml:space="preserve">ad esso </w:t>
      </w:r>
      <w:r w:rsidR="00896968" w:rsidRPr="00DF529D">
        <w:rPr>
          <w:rFonts w:ascii="Times New Roman" w:hAnsi="Times New Roman" w:cs="Times New Roman"/>
          <w:sz w:val="26"/>
          <w:szCs w:val="26"/>
        </w:rPr>
        <w:t>subire…”</w:t>
      </w:r>
      <w:r w:rsidR="0056797B" w:rsidRPr="00DF529D">
        <w:rPr>
          <w:rFonts w:ascii="Times New Roman" w:hAnsi="Times New Roman" w:cs="Times New Roman"/>
          <w:sz w:val="26"/>
          <w:szCs w:val="26"/>
        </w:rPr>
        <w:t>.</w:t>
      </w:r>
    </w:p>
    <w:p w:rsidR="00DE23E6" w:rsidRPr="00DF529D" w:rsidRDefault="00DE23E6" w:rsidP="004A44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797B" w:rsidRPr="00DF529D" w:rsidRDefault="0056797B" w:rsidP="004A44BC">
      <w:pPr>
        <w:jc w:val="both"/>
        <w:rPr>
          <w:rFonts w:ascii="Times New Roman" w:hAnsi="Times New Roman" w:cs="Times New Roman"/>
          <w:sz w:val="26"/>
          <w:szCs w:val="26"/>
        </w:rPr>
      </w:pPr>
      <w:r w:rsidRPr="00DF529D">
        <w:rPr>
          <w:rFonts w:ascii="Times New Roman" w:hAnsi="Times New Roman" w:cs="Times New Roman"/>
          <w:sz w:val="26"/>
          <w:szCs w:val="26"/>
        </w:rPr>
        <w:t xml:space="preserve">Segnalo </w:t>
      </w:r>
      <w:r w:rsidR="00DE23E6" w:rsidRPr="00DF529D">
        <w:rPr>
          <w:rFonts w:ascii="Times New Roman" w:hAnsi="Times New Roman" w:cs="Times New Roman"/>
          <w:sz w:val="26"/>
          <w:szCs w:val="26"/>
        </w:rPr>
        <w:t>infine</w:t>
      </w:r>
      <w:r w:rsidRPr="00DF529D">
        <w:rPr>
          <w:rFonts w:ascii="Times New Roman" w:hAnsi="Times New Roman" w:cs="Times New Roman"/>
          <w:sz w:val="26"/>
          <w:szCs w:val="26"/>
        </w:rPr>
        <w:t xml:space="preserve"> che, così formulata l’ipotesi di reato base (atti sessuali senza consenso), sarebbe coerente prevedere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 </w:t>
      </w:r>
      <w:r w:rsidRPr="00DF529D">
        <w:rPr>
          <w:rFonts w:ascii="Times New Roman" w:hAnsi="Times New Roman" w:cs="Times New Roman"/>
          <w:sz w:val="26"/>
          <w:szCs w:val="26"/>
        </w:rPr>
        <w:t xml:space="preserve">l’utilizzo della violenza o 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della </w:t>
      </w:r>
      <w:r w:rsidRPr="00DF529D">
        <w:rPr>
          <w:rFonts w:ascii="Times New Roman" w:hAnsi="Times New Roman" w:cs="Times New Roman"/>
          <w:sz w:val="26"/>
          <w:szCs w:val="26"/>
        </w:rPr>
        <w:t>minaccia quali circostanze aggravanti della fattispecie base</w:t>
      </w:r>
      <w:r w:rsidR="00DE23E6" w:rsidRPr="00DF529D">
        <w:rPr>
          <w:rFonts w:ascii="Times New Roman" w:hAnsi="Times New Roman" w:cs="Times New Roman"/>
          <w:sz w:val="26"/>
          <w:szCs w:val="26"/>
        </w:rPr>
        <w:t>, perché indubitabile espressione di maggiore disvalore del fatto</w:t>
      </w:r>
      <w:r w:rsidRPr="00DF529D">
        <w:rPr>
          <w:rFonts w:ascii="Times New Roman" w:hAnsi="Times New Roman" w:cs="Times New Roman"/>
          <w:sz w:val="26"/>
          <w:szCs w:val="26"/>
        </w:rPr>
        <w:t>.</w:t>
      </w:r>
    </w:p>
    <w:p w:rsidR="0056797B" w:rsidRDefault="0056797B" w:rsidP="004A44BC">
      <w:pPr>
        <w:jc w:val="both"/>
        <w:rPr>
          <w:rFonts w:ascii="Times New Roman" w:hAnsi="Times New Roman" w:cs="Times New Roman"/>
          <w:sz w:val="26"/>
          <w:szCs w:val="26"/>
        </w:rPr>
      </w:pPr>
      <w:r w:rsidRPr="00DF529D">
        <w:rPr>
          <w:rFonts w:ascii="Times New Roman" w:hAnsi="Times New Roman" w:cs="Times New Roman"/>
          <w:sz w:val="26"/>
          <w:szCs w:val="26"/>
        </w:rPr>
        <w:lastRenderedPageBreak/>
        <w:t>Sarà inoltre il Legislatore a valutare la graduazione della pena fra ipotesi base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 </w:t>
      </w:r>
      <w:r w:rsidRPr="00DF529D">
        <w:rPr>
          <w:rFonts w:ascii="Times New Roman" w:hAnsi="Times New Roman" w:cs="Times New Roman"/>
          <w:sz w:val="26"/>
          <w:szCs w:val="26"/>
        </w:rPr>
        <w:t>e aggravata</w:t>
      </w:r>
      <w:r w:rsidR="00896968" w:rsidRPr="00DF529D">
        <w:rPr>
          <w:rFonts w:ascii="Times New Roman" w:hAnsi="Times New Roman" w:cs="Times New Roman"/>
          <w:sz w:val="26"/>
          <w:szCs w:val="26"/>
        </w:rPr>
        <w:t xml:space="preserve">, </w:t>
      </w:r>
      <w:r w:rsidR="00DE23E6" w:rsidRPr="00DF529D">
        <w:rPr>
          <w:rFonts w:ascii="Times New Roman" w:hAnsi="Times New Roman" w:cs="Times New Roman"/>
          <w:sz w:val="26"/>
          <w:szCs w:val="26"/>
        </w:rPr>
        <w:t xml:space="preserve">valutando </w:t>
      </w:r>
      <w:r w:rsidRPr="00DF529D">
        <w:rPr>
          <w:rFonts w:ascii="Times New Roman" w:hAnsi="Times New Roman" w:cs="Times New Roman"/>
          <w:sz w:val="26"/>
          <w:szCs w:val="26"/>
        </w:rPr>
        <w:t>se per l’ipotesi base debba rimanere l’attuale previsione di pena edittale, assai rigorosa, prevista per quello che dovrebbe diventare il reato circostanziato aggravato.</w:t>
      </w:r>
    </w:p>
    <w:p w:rsidR="00DF529D" w:rsidRPr="00DF529D" w:rsidRDefault="00DF529D" w:rsidP="004A44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797B" w:rsidRPr="00DF529D" w:rsidRDefault="006C02D4" w:rsidP="006C02D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Federico Falzone</w:t>
      </w:r>
    </w:p>
    <w:sectPr w:rsidR="0056797B" w:rsidRPr="00DF529D" w:rsidSect="00DF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0A"/>
    <w:rsid w:val="001F0A49"/>
    <w:rsid w:val="00380250"/>
    <w:rsid w:val="0043310A"/>
    <w:rsid w:val="004A44BC"/>
    <w:rsid w:val="0056797B"/>
    <w:rsid w:val="00633785"/>
    <w:rsid w:val="006C02D4"/>
    <w:rsid w:val="007978B8"/>
    <w:rsid w:val="007F6A34"/>
    <w:rsid w:val="00896947"/>
    <w:rsid w:val="00896968"/>
    <w:rsid w:val="00AF3A76"/>
    <w:rsid w:val="00C669C7"/>
    <w:rsid w:val="00D549D1"/>
    <w:rsid w:val="00DA738F"/>
    <w:rsid w:val="00DE23E6"/>
    <w:rsid w:val="00D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C53EB"/>
  <w15:chartTrackingRefBased/>
  <w15:docId w15:val="{738343D0-5A82-154D-B9C7-ABE7C01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1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1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1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3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31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1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310A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43310A"/>
    <w:rPr>
      <w:b/>
      <w:bCs/>
    </w:rPr>
  </w:style>
  <w:style w:type="character" w:styleId="Enfasicorsivo">
    <w:name w:val="Emphasis"/>
    <w:basedOn w:val="Carpredefinitoparagrafo"/>
    <w:uiPriority w:val="20"/>
    <w:qFormat/>
    <w:rsid w:val="00433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Falzone</dc:creator>
  <cp:keywords/>
  <dc:description/>
  <cp:lastModifiedBy>Federico Falzone</cp:lastModifiedBy>
  <cp:revision>4</cp:revision>
  <cp:lastPrinted>2025-02-26T14:53:00Z</cp:lastPrinted>
  <dcterms:created xsi:type="dcterms:W3CDTF">2025-02-25T13:37:00Z</dcterms:created>
  <dcterms:modified xsi:type="dcterms:W3CDTF">2025-02-27T13:23:00Z</dcterms:modified>
</cp:coreProperties>
</file>